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kinsoku/>
        <w:wordWrap/>
        <w:topLinePunct w:val="0"/>
        <w:bidi w:val="0"/>
        <w:snapToGrid/>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R4-2409602</w:t>
      </w:r>
      <w:bookmarkStart w:id="276" w:name="_GoBack"/>
      <w:bookmarkEnd w:id="276"/>
      <w:r>
        <w:rPr>
          <w:rFonts w:hint="eastAsia" w:ascii="Arial" w:hAnsi="Arial" w:cs="Arial"/>
          <w:b/>
          <w:sz w:val="24"/>
          <w:szCs w:val="24"/>
        </w:rPr>
        <w:t xml:space="preserve">                         </w:t>
      </w:r>
    </w:p>
    <w:p>
      <w:pPr>
        <w:keepNext/>
        <w:keepLines/>
        <w:pageBreakBefore w:val="0"/>
        <w:tabs>
          <w:tab w:val="left" w:pos="1985"/>
        </w:tabs>
        <w:kinsoku/>
        <w:wordWrap/>
        <w:topLinePunct w:val="0"/>
        <w:bidi w:val="0"/>
        <w:snapToGrid/>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10</w:t>
      </w:r>
      <w:r>
        <w:rPr>
          <w:rFonts w:hint="eastAsia" w:ascii="Arial" w:hAnsi="Arial" w:cs="Arial"/>
          <w:b/>
          <w:sz w:val="24"/>
          <w:szCs w:val="24"/>
          <w:lang w:val="en-US" w:eastAsia="zh-CN"/>
        </w:rPr>
        <w:t>.8.2.2</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keepNext/>
        <w:keepLines/>
        <w:pageBreakBefore w:val="0"/>
        <w:tabs>
          <w:tab w:val="left" w:pos="567"/>
          <w:tab w:val="clear" w:pos="1985"/>
        </w:tabs>
        <w:kinsoku/>
        <w:wordWrap/>
        <w:topLinePunct w:val="0"/>
        <w:bidi w:val="0"/>
        <w:adjustRightInd w:val="0"/>
        <w:snapToGrid/>
        <w:ind w:left="510" w:hanging="510"/>
      </w:pPr>
      <w:r>
        <w:t>Introduction</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RF requirements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3-3</w:t>
            </w:r>
            <w:r>
              <w:rPr>
                <w:rFonts w:hint="default"/>
                <w:b/>
                <w:color w:val="0070C0"/>
                <w:u w:val="single"/>
                <w:lang w:eastAsia="ko-KR"/>
              </w:rPr>
              <w:t xml:space="preserve">-1: </w:t>
            </w:r>
            <w:r>
              <w:rPr>
                <w:rFonts w:hint="eastAsia"/>
                <w:b/>
                <w:color w:val="0070C0"/>
                <w:u w:val="single"/>
                <w:lang w:val="en-US" w:eastAsia="zh-CN"/>
              </w:rPr>
              <w:t>clarify the antenna type for each band for inter-band CA for further capability signaling definition</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Proposals</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1: </w:t>
            </w:r>
            <w:r>
              <w:rPr>
                <w:rFonts w:hint="eastAsia" w:eastAsia="宋体"/>
                <w:color w:val="0070C0"/>
                <w:szCs w:val="24"/>
                <w:lang w:val="en-US" w:eastAsia="zh-CN"/>
              </w:rPr>
              <w:t>both following options are allowed (CMCC)</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eastAsia="zh-CN"/>
              </w:rPr>
              <w:t>Option 1: Only one antenna type could be used for one CA inter-band combination.</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eastAsia="zh-CN"/>
              </w:rPr>
              <w:t>Option 2: Both antenna types could be used for one CA inter-band combination.</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2: </w:t>
            </w:r>
            <w:r>
              <w:rPr>
                <w:rFonts w:hint="eastAsia" w:eastAsia="宋体"/>
                <w:color w:val="0070C0"/>
                <w:szCs w:val="24"/>
                <w:lang w:val="en-US" w:eastAsia="zh-CN"/>
              </w:rPr>
              <w:t>TBA</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3"/>
              </w:numPr>
              <w:suppressLineNumbers w:val="0"/>
              <w:spacing w:before="0" w:beforeAutospacing="0" w:after="120" w:afterAutospacing="0"/>
              <w:ind w:right="0" w:firstLineChars="0"/>
              <w:rPr>
                <w:rFonts w:hint="default"/>
                <w:szCs w:val="24"/>
                <w:lang w:eastAsia="zh-CN"/>
              </w:rPr>
            </w:pPr>
            <w:r>
              <w:rPr>
                <w:rFonts w:hint="eastAsia"/>
                <w:szCs w:val="24"/>
                <w:lang w:eastAsia="zh-CN"/>
              </w:rPr>
              <w:t xml:space="preserve">FFS on </w:t>
            </w:r>
            <w:r>
              <w:rPr>
                <w:rFonts w:hint="eastAsia" w:eastAsiaTheme="minorEastAsia"/>
                <w:szCs w:val="24"/>
                <w:lang w:eastAsia="zh-CN"/>
              </w:rPr>
              <w:t>the antenna type for ATG UE supporting inter-band CA.</w:t>
            </w:r>
          </w:p>
          <w:p>
            <w:pPr>
              <w:keepNext w:val="0"/>
              <w:keepLines w:val="0"/>
              <w:suppressLineNumbers w:val="0"/>
              <w:spacing w:before="0" w:beforeAutospacing="0" w:afterAutospacing="0"/>
              <w:ind w:left="0" w:right="0"/>
              <w:rPr>
                <w:rFonts w:hint="default" w:eastAsiaTheme="minorEastAsia"/>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3-3</w:t>
            </w:r>
            <w:r>
              <w:rPr>
                <w:rFonts w:hint="default"/>
                <w:b/>
                <w:color w:val="0070C0"/>
                <w:u w:val="single"/>
                <w:lang w:eastAsia="ko-KR"/>
              </w:rPr>
              <w:t>-</w:t>
            </w:r>
            <w:r>
              <w:rPr>
                <w:rFonts w:hint="eastAsia"/>
                <w:b/>
                <w:color w:val="0070C0"/>
                <w:u w:val="single"/>
                <w:lang w:val="en-US" w:eastAsia="zh-CN"/>
              </w:rPr>
              <w:t>2</w:t>
            </w:r>
            <w:r>
              <w:rPr>
                <w:rFonts w:hint="default"/>
                <w:b/>
                <w:color w:val="0070C0"/>
                <w:u w:val="single"/>
                <w:lang w:eastAsia="ko-KR"/>
              </w:rPr>
              <w:t xml:space="preserve">: </w:t>
            </w:r>
            <w:r>
              <w:rPr>
                <w:rFonts w:hint="eastAsia"/>
                <w:b/>
                <w:color w:val="0070C0"/>
                <w:u w:val="single"/>
                <w:lang w:val="en-US" w:eastAsia="zh-CN"/>
              </w:rPr>
              <w:t>whether UL is only configured in band n3 for CA_n3_n39</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Proposals</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1: </w:t>
            </w:r>
            <w:r>
              <w:rPr>
                <w:rFonts w:hint="eastAsia" w:eastAsia="宋体"/>
                <w:color w:val="0070C0"/>
                <w:szCs w:val="24"/>
                <w:lang w:eastAsia="zh-CN"/>
              </w:rPr>
              <w:t>RAN4 should discuss the potential RF architecture for ATG UE supporting DL CA_n3-n39 and whether Uplink transmission is only configured in band n3 for ATG CA_n3-n39</w:t>
            </w:r>
            <w:r>
              <w:rPr>
                <w:rFonts w:hint="eastAsia" w:eastAsia="宋体"/>
                <w:color w:val="0070C0"/>
                <w:szCs w:val="24"/>
                <w:lang w:val="en-US" w:eastAsia="zh-CN"/>
              </w:rPr>
              <w:t xml:space="preserve"> (Huawei, CMCC)</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2: </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3"/>
              </w:numPr>
              <w:suppressLineNumbers w:val="0"/>
              <w:spacing w:before="0" w:beforeAutospacing="0" w:after="120" w:afterAutospacing="0"/>
              <w:ind w:right="0" w:firstLineChars="0"/>
              <w:rPr>
                <w:rFonts w:hint="default"/>
                <w:szCs w:val="24"/>
                <w:lang w:eastAsia="zh-CN"/>
              </w:rPr>
            </w:pPr>
            <w:r>
              <w:rPr>
                <w:rFonts w:hint="eastAsia"/>
                <w:szCs w:val="24"/>
                <w:lang w:eastAsia="zh-CN"/>
              </w:rPr>
              <w:t xml:space="preserve">FFS on </w:t>
            </w:r>
            <w:r>
              <w:rPr>
                <w:rFonts w:hint="eastAsia" w:eastAsiaTheme="minorEastAsia"/>
                <w:szCs w:val="24"/>
                <w:lang w:eastAsia="zh-CN"/>
              </w:rPr>
              <w:t>whether n39 can be transmitted for</w:t>
            </w:r>
            <w:r>
              <w:rPr>
                <w:rFonts w:hint="default" w:eastAsiaTheme="minorEastAsia"/>
                <w:szCs w:val="24"/>
                <w:lang w:eastAsia="zh-CN"/>
              </w:rPr>
              <w:t xml:space="preserve"> CA_n3_n39</w:t>
            </w:r>
          </w:p>
          <w:p>
            <w:pPr>
              <w:keepNext w:val="0"/>
              <w:keepLines w:val="0"/>
              <w:suppressLineNumbers w:val="0"/>
              <w:spacing w:before="0" w:beforeAutospacing="0" w:afterAutospacing="0"/>
              <w:ind w:left="0" w:right="0"/>
              <w:rPr>
                <w:rFonts w:hint="default" w:eastAsiaTheme="minorEastAsia"/>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3-3-3</w:t>
            </w:r>
            <w:r>
              <w:rPr>
                <w:rFonts w:hint="default"/>
                <w:b/>
                <w:color w:val="0070C0"/>
                <w:u w:val="single"/>
                <w:lang w:eastAsia="ko-KR"/>
              </w:rPr>
              <w:t xml:space="preserve">: </w:t>
            </w:r>
            <w:r>
              <w:rPr>
                <w:rFonts w:hint="eastAsia"/>
                <w:b/>
                <w:color w:val="0070C0"/>
                <w:u w:val="single"/>
                <w:lang w:val="en-US" w:eastAsia="zh-CN"/>
              </w:rPr>
              <w:t>BCS for DL CA_n3_n39</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Proposals</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1: </w:t>
            </w:r>
            <w:r>
              <w:rPr>
                <w:rFonts w:hint="eastAsia" w:eastAsia="宋体"/>
                <w:color w:val="0070C0"/>
                <w:szCs w:val="24"/>
                <w:lang w:val="en-US" w:eastAsia="zh-CN"/>
              </w:rPr>
              <w:t>(Apple)</w:t>
            </w:r>
          </w:p>
          <w:p>
            <w:pPr>
              <w:pStyle w:val="47"/>
              <w:suppressLineNumbers w:val="0"/>
              <w:spacing w:beforeAutospacing="0" w:after="120" w:afterAutospacing="0"/>
              <w:ind w:left="0" w:right="0"/>
              <w:rPr>
                <w:rFonts w:hint="default" w:ascii="Helvetica Neue" w:hAnsi="Helvetica Neue" w:eastAsia="Times New Roman"/>
                <w:lang w:val="en-US" w:eastAsia="zh-CN"/>
              </w:rPr>
            </w:pPr>
            <w:r>
              <w:rPr>
                <w:rFonts w:hint="default" w:ascii="Helvetica Neue" w:hAnsi="Helvetica Neue" w:eastAsia="Times New Roman"/>
                <w:lang w:val="en-US" w:eastAsia="zh-CN"/>
              </w:rPr>
              <w:t>Table 2.2-2 BCS for CA_n3-n39</w:t>
            </w:r>
          </w:p>
          <w:tbl>
            <w:tblPr>
              <w:tblStyle w:val="25"/>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395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b/>
                      <w:bCs/>
                      <w:sz w:val="21"/>
                      <w:szCs w:val="21"/>
                      <w:lang w:eastAsia="zh-CN"/>
                    </w:rPr>
                  </w:pPr>
                  <w:r>
                    <w:rPr>
                      <w:rFonts w:hint="default" w:ascii="Helvetica Neue" w:hAnsi="Helvetica Neue"/>
                      <w:b/>
                      <w:bCs/>
                      <w:sz w:val="21"/>
                      <w:szCs w:val="21"/>
                      <w:lang w:eastAsia="zh-CN"/>
                    </w:rPr>
                    <w:t>NR CA config</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b/>
                      <w:bCs/>
                      <w:sz w:val="21"/>
                      <w:szCs w:val="21"/>
                      <w:lang w:val="en-US" w:eastAsia="zh-CN"/>
                    </w:rPr>
                  </w:pPr>
                  <w:r>
                    <w:rPr>
                      <w:rFonts w:hint="default" w:ascii="Helvetica Neue" w:hAnsi="Helvetica Neue"/>
                      <w:b/>
                      <w:bCs/>
                      <w:sz w:val="21"/>
                      <w:szCs w:val="21"/>
                      <w:lang w:val="en-US" w:eastAsia="zh-CN"/>
                    </w:rPr>
                    <w:t>Uplink CA configuration or single uplink carrier10</w:t>
                  </w:r>
                </w:p>
              </w:tc>
              <w:tc>
                <w:tcPr>
                  <w:tcW w:w="730"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b/>
                      <w:bCs/>
                      <w:sz w:val="21"/>
                      <w:szCs w:val="21"/>
                      <w:lang w:val="en-US" w:eastAsia="zh-CN"/>
                    </w:rPr>
                  </w:pPr>
                  <w:r>
                    <w:rPr>
                      <w:rFonts w:hint="default" w:ascii="Helvetica Neue" w:hAnsi="Helvetica Neue"/>
                      <w:b/>
                      <w:bCs/>
                      <w:sz w:val="21"/>
                      <w:szCs w:val="21"/>
                      <w:lang w:val="en-US" w:eastAsia="zh-CN"/>
                    </w:rPr>
                    <w:t>NR Band</w:t>
                  </w:r>
                </w:p>
              </w:tc>
              <w:tc>
                <w:tcPr>
                  <w:tcW w:w="3956"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cs="Arial"/>
                      <w:b/>
                      <w:bCs/>
                      <w:sz w:val="21"/>
                      <w:szCs w:val="21"/>
                      <w:lang w:val="en-US" w:eastAsia="zh-CN" w:bidi="ar"/>
                    </w:rPr>
                  </w:pPr>
                  <w:r>
                    <w:rPr>
                      <w:rFonts w:hint="default" w:ascii="Helvetica Neue" w:hAnsi="Helvetica Neue" w:cs="Arial"/>
                      <w:b/>
                      <w:bCs/>
                      <w:sz w:val="21"/>
                      <w:szCs w:val="21"/>
                      <w:lang w:val="en-US" w:eastAsia="zh-CN" w:bidi="ar"/>
                    </w:rPr>
                    <w:t xml:space="preserve">Channel bandwidth (MHz) </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b/>
                      <w:bCs/>
                      <w:sz w:val="21"/>
                      <w:szCs w:val="21"/>
                      <w:lang w:eastAsia="zh-CN"/>
                    </w:rPr>
                  </w:pPr>
                  <w:r>
                    <w:rPr>
                      <w:rFonts w:hint="default" w:ascii="Helvetica Neue" w:hAnsi="Helvetica Neue"/>
                      <w:b/>
                      <w:bCs/>
                      <w:sz w:val="21"/>
                      <w:szCs w:val="21"/>
                      <w:lang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sz w:val="21"/>
                      <w:szCs w:val="21"/>
                      <w:lang w:eastAsia="zh-CN"/>
                    </w:rPr>
                  </w:pPr>
                  <w:r>
                    <w:rPr>
                      <w:rFonts w:hint="default" w:ascii="Helvetica Neue" w:hAnsi="Helvetica Neue"/>
                      <w:sz w:val="21"/>
                      <w:szCs w:val="21"/>
                      <w:lang w:eastAsia="zh-CN"/>
                    </w:rPr>
                    <w:t>CA_n</w:t>
                  </w:r>
                  <w:r>
                    <w:rPr>
                      <w:rFonts w:hint="default" w:ascii="Helvetica Neue" w:hAnsi="Helvetica Neue"/>
                      <w:sz w:val="21"/>
                      <w:szCs w:val="21"/>
                      <w:lang w:val="en-US" w:eastAsia="zh-CN"/>
                    </w:rPr>
                    <w:t>3</w:t>
                  </w:r>
                  <w:r>
                    <w:rPr>
                      <w:rFonts w:hint="default" w:ascii="Helvetica Neue" w:hAnsi="Helvetica Neue"/>
                      <w:sz w:val="21"/>
                      <w:szCs w:val="21"/>
                      <w:lang w:eastAsia="zh-CN"/>
                    </w:rPr>
                    <w:t>A-n</w:t>
                  </w:r>
                  <w:r>
                    <w:rPr>
                      <w:rFonts w:hint="default" w:ascii="Helvetica Neue" w:hAnsi="Helvetica Neue"/>
                      <w:sz w:val="21"/>
                      <w:szCs w:val="21"/>
                      <w:lang w:val="en-US" w:eastAsia="zh-CN"/>
                    </w:rPr>
                    <w:t>39</w:t>
                  </w:r>
                  <w:r>
                    <w:rPr>
                      <w:rFonts w:hint="default" w:ascii="Helvetica Neue" w:hAnsi="Helvetica Neue"/>
                      <w:sz w:val="21"/>
                      <w:szCs w:val="21"/>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sz w:val="21"/>
                      <w:szCs w:val="21"/>
                      <w:lang w:val="en-US"/>
                    </w:rPr>
                  </w:pPr>
                  <w:r>
                    <w:rPr>
                      <w:rFonts w:hint="default" w:ascii="Helvetica Neue" w:hAnsi="Helvetica Neue"/>
                      <w:sz w:val="21"/>
                      <w:szCs w:val="21"/>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sz w:val="21"/>
                      <w:szCs w:val="21"/>
                      <w:lang w:val="en-US"/>
                    </w:rPr>
                  </w:pPr>
                  <w:r>
                    <w:rPr>
                      <w:rFonts w:hint="default" w:ascii="Helvetica Neue" w:hAnsi="Helvetica Neue"/>
                      <w:sz w:val="21"/>
                      <w:szCs w:val="21"/>
                      <w:lang w:val="en-US" w:eastAsia="zh-CN"/>
                    </w:rPr>
                    <w:t>n3</w:t>
                  </w:r>
                </w:p>
              </w:tc>
              <w:tc>
                <w:tcPr>
                  <w:tcW w:w="3956"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sz w:val="21"/>
                      <w:szCs w:val="21"/>
                      <w:lang w:val="en-US" w:eastAsia="zh-CN"/>
                    </w:rPr>
                  </w:pPr>
                  <w:r>
                    <w:rPr>
                      <w:rFonts w:hint="default" w:ascii="Helvetica Neue" w:hAnsi="Helvetica Neue"/>
                      <w:sz w:val="21"/>
                      <w:szCs w:val="21"/>
                      <w:lang w:val="en-US" w:eastAsia="zh-CN"/>
                    </w:rPr>
                    <w:t>10, 15, 20, 25, 30, 35, 40, 45, 50</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sz w:val="21"/>
                      <w:szCs w:val="21"/>
                      <w:lang w:eastAsia="zh-CN"/>
                    </w:rPr>
                  </w:pPr>
                  <w:r>
                    <w:rPr>
                      <w:rFonts w:hint="default" w:ascii="Helvetica Neue" w:hAnsi="Helvetica Neue"/>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sz w:val="21"/>
                      <w:szCs w:val="21"/>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sz w:val="21"/>
                      <w:szCs w:val="21"/>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sz w:val="21"/>
                      <w:szCs w:val="21"/>
                      <w:lang w:val="en-US"/>
                    </w:rPr>
                  </w:pPr>
                  <w:r>
                    <w:rPr>
                      <w:rFonts w:hint="default" w:ascii="Helvetica Neue" w:hAnsi="Helvetica Neue"/>
                      <w:sz w:val="21"/>
                      <w:szCs w:val="21"/>
                      <w:lang w:val="en-US" w:eastAsia="zh-CN"/>
                    </w:rPr>
                    <w:t>n39</w:t>
                  </w:r>
                </w:p>
              </w:tc>
              <w:tc>
                <w:tcPr>
                  <w:tcW w:w="3956" w:type="dxa"/>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ascii="Helvetica Neue" w:hAnsi="Helvetica Neue"/>
                      <w:sz w:val="21"/>
                      <w:szCs w:val="21"/>
                      <w:lang w:val="en-US" w:eastAsia="zh-CN"/>
                    </w:rPr>
                  </w:pPr>
                  <w:r>
                    <w:rPr>
                      <w:rFonts w:hint="default" w:ascii="Helvetica Neue" w:hAnsi="Helvetica Neue"/>
                      <w:sz w:val="21"/>
                      <w:szCs w:val="21"/>
                      <w:lang w:val="en-US" w:eastAsia="zh-CN"/>
                    </w:rPr>
                    <w:t>10, 15, 20, 25, 30, 35, 40</w:t>
                  </w: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38"/>
                    <w:suppressLineNumbers w:val="0"/>
                    <w:spacing w:before="0" w:beforeAutospacing="0" w:afterAutospacing="0"/>
                    <w:ind w:left="0" w:right="0"/>
                    <w:rPr>
                      <w:rFonts w:hint="default" w:ascii="Helvetica Neue" w:hAnsi="Helvetica Neue" w:eastAsia="Yu Mincho"/>
                      <w:sz w:val="21"/>
                      <w:szCs w:val="21"/>
                    </w:rPr>
                  </w:pPr>
                </w:p>
              </w:tc>
            </w:tr>
          </w:tbl>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70C0"/>
                <w:szCs w:val="24"/>
                <w:lang w:eastAsia="zh-CN"/>
              </w:rPr>
            </w:pP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2: </w:t>
            </w:r>
            <w:r>
              <w:rPr>
                <w:rFonts w:hint="eastAsia" w:eastAsia="宋体"/>
                <w:color w:val="0070C0"/>
                <w:szCs w:val="24"/>
                <w:lang w:val="en-US" w:eastAsia="zh-CN"/>
              </w:rPr>
              <w:t>TBA</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3"/>
              </w:numPr>
              <w:suppressLineNumbers w:val="0"/>
              <w:spacing w:before="0" w:beforeAutospacing="0" w:after="120" w:afterAutospacing="0"/>
              <w:ind w:right="0" w:firstLineChars="0"/>
              <w:rPr>
                <w:rFonts w:hint="default"/>
                <w:szCs w:val="24"/>
                <w:lang w:eastAsia="zh-CN"/>
              </w:rPr>
            </w:pPr>
            <w:r>
              <w:rPr>
                <w:rFonts w:hint="eastAsia"/>
                <w:szCs w:val="24"/>
                <w:lang w:eastAsia="zh-CN"/>
              </w:rPr>
              <w:t xml:space="preserve">FFS on </w:t>
            </w:r>
            <w:r>
              <w:rPr>
                <w:rFonts w:hint="eastAsia" w:eastAsiaTheme="minorEastAsia"/>
                <w:szCs w:val="24"/>
                <w:lang w:eastAsia="zh-CN"/>
              </w:rPr>
              <w:t>supported BCS for DL CA_n3_n39</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eastAsia="宋体"/>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3-3-4</w:t>
            </w:r>
            <w:r>
              <w:rPr>
                <w:rFonts w:hint="default"/>
                <w:b/>
                <w:color w:val="0070C0"/>
                <w:u w:val="single"/>
                <w:lang w:eastAsia="ko-KR"/>
              </w:rPr>
              <w:t xml:space="preserve">: </w:t>
            </w:r>
            <w:r>
              <w:rPr>
                <w:rFonts w:hint="eastAsia"/>
                <w:b/>
                <w:color w:val="0070C0"/>
                <w:u w:val="single"/>
                <w:lang w:val="en-US" w:eastAsia="zh-CN"/>
              </w:rPr>
              <w:t>Rx RF requirements for inter-band DL CA</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szCs w:val="24"/>
                <w:lang w:eastAsia="zh-CN"/>
              </w:rPr>
            </w:pPr>
            <w:r>
              <w:rPr>
                <w:rFonts w:hint="default" w:eastAsia="宋体"/>
                <w:color w:val="0070C0"/>
                <w:szCs w:val="24"/>
                <w:lang w:eastAsia="zh-CN"/>
              </w:rPr>
              <w:t>Proposals</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1: </w:t>
            </w:r>
            <w:r>
              <w:rPr>
                <w:rFonts w:hint="eastAsia" w:eastAsia="宋体"/>
                <w:color w:val="0070C0"/>
                <w:szCs w:val="24"/>
                <w:lang w:val="en-US" w:eastAsia="zh-CN"/>
              </w:rPr>
              <w:t>(CMCC</w:t>
            </w:r>
            <w:r>
              <w:rPr>
                <w:rFonts w:hint="default" w:eastAsia="宋体"/>
                <w:color w:val="0070C0"/>
                <w:szCs w:val="24"/>
                <w:lang w:val="en-US" w:eastAsia="zh-CN"/>
              </w:rPr>
              <w:t>, Apple</w:t>
            </w:r>
            <w:r>
              <w:rPr>
                <w:rFonts w:hint="eastAsia" w:eastAsia="宋体"/>
                <w:color w:val="0070C0"/>
                <w:szCs w:val="24"/>
                <w:lang w:val="en-US" w:eastAsia="zh-CN"/>
              </w:rPr>
              <w:t>)</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val="en-US" w:eastAsia="zh-CN"/>
              </w:rPr>
              <w:t>except for delta RIB, MSD requirements, per band requirements i.e the requirements in suffix J could be reused for ATG CA inter-band combination.</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val="en-US" w:eastAsia="zh-CN"/>
              </w:rPr>
              <w:t>For delta RIB, MSD requirements, companies needs detailed analysis of whether current legacy UE requirements could be reused rather than directly reuse.</w:t>
            </w:r>
          </w:p>
          <w:p>
            <w:pPr>
              <w:pStyle w:val="36"/>
              <w:keepNext w:val="0"/>
              <w:keepLines w:val="0"/>
              <w:numPr>
                <w:ilvl w:val="1"/>
                <w:numId w:val="2"/>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szCs w:val="24"/>
                <w:lang w:eastAsia="zh-CN"/>
              </w:rPr>
            </w:pPr>
            <w:r>
              <w:rPr>
                <w:rFonts w:hint="default" w:eastAsia="宋体"/>
                <w:color w:val="0070C0"/>
                <w:szCs w:val="24"/>
                <w:lang w:eastAsia="zh-CN"/>
              </w:rPr>
              <w:t xml:space="preserve">Option 2: </w:t>
            </w:r>
            <w:r>
              <w:rPr>
                <w:rFonts w:hint="eastAsia" w:eastAsia="宋体"/>
                <w:color w:val="0070C0"/>
                <w:szCs w:val="24"/>
                <w:lang w:val="en-US" w:eastAsia="zh-CN"/>
              </w:rPr>
              <w:t>(ZTE)</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val="en-US" w:eastAsia="zh-CN"/>
              </w:rPr>
              <w:t>ΔRIB,c, in-band blocking, out of band blocking, spurious response, wide band intermodulation, spurious emissions could reuse legacy inter-band CA requirements</w:t>
            </w:r>
          </w:p>
          <w:p>
            <w:pPr>
              <w:pStyle w:val="36"/>
              <w:keepNext w:val="0"/>
              <w:keepLines w:val="0"/>
              <w:numPr>
                <w:ilvl w:val="2"/>
                <w:numId w:val="2"/>
              </w:numPr>
              <w:suppressLineNumbers w:val="0"/>
              <w:overflowPunct/>
              <w:autoSpaceDE/>
              <w:autoSpaceDN/>
              <w:adjustRightInd/>
              <w:spacing w:before="0" w:beforeAutospacing="0" w:after="120" w:afterAutospacing="0"/>
              <w:ind w:left="1860" w:right="0" w:firstLineChars="0"/>
              <w:textAlignment w:val="auto"/>
              <w:rPr>
                <w:rFonts w:hint="default" w:eastAsia="宋体"/>
                <w:color w:val="0070C0"/>
                <w:szCs w:val="24"/>
                <w:lang w:eastAsia="zh-CN"/>
              </w:rPr>
            </w:pPr>
            <w:r>
              <w:rPr>
                <w:rFonts w:hint="eastAsia" w:eastAsia="宋体"/>
                <w:color w:val="0070C0"/>
                <w:szCs w:val="24"/>
                <w:lang w:val="en-US" w:eastAsia="zh-CN"/>
              </w:rPr>
              <w:t>Narrow band blocking is not applicable</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36"/>
              <w:keepNext w:val="0"/>
              <w:keepLines w:val="0"/>
              <w:numPr>
                <w:ilvl w:val="0"/>
                <w:numId w:val="3"/>
              </w:numPr>
              <w:suppressLineNumbers w:val="0"/>
              <w:spacing w:before="0" w:beforeAutospacing="0" w:after="120" w:afterAutospacing="0"/>
              <w:ind w:right="0" w:firstLineChars="0"/>
              <w:rPr>
                <w:rFonts w:hint="default"/>
                <w:szCs w:val="24"/>
                <w:lang w:eastAsia="zh-CN"/>
              </w:rPr>
            </w:pPr>
            <w:r>
              <w:rPr>
                <w:rFonts w:hint="eastAsia"/>
                <w:szCs w:val="24"/>
                <w:lang w:eastAsia="zh-CN"/>
              </w:rPr>
              <w:t xml:space="preserve">FFS on the </w:t>
            </w:r>
            <w:r>
              <w:rPr>
                <w:rFonts w:hint="default"/>
                <w:szCs w:val="24"/>
                <w:lang w:eastAsia="zh-CN"/>
              </w:rPr>
              <w:t xml:space="preserve">ATG Rx requirements for </w:t>
            </w:r>
            <w:r>
              <w:rPr>
                <w:rFonts w:hint="eastAsia" w:eastAsiaTheme="minorEastAsia"/>
                <w:szCs w:val="24"/>
                <w:lang w:eastAsia="zh-CN"/>
              </w:rPr>
              <w:t>inter-band</w:t>
            </w:r>
            <w:r>
              <w:rPr>
                <w:rFonts w:hint="default"/>
                <w:szCs w:val="24"/>
                <w:lang w:eastAsia="zh-CN"/>
              </w:rPr>
              <w:t xml:space="preserve"> CA</w:t>
            </w:r>
          </w:p>
          <w:p>
            <w:pPr>
              <w:pStyle w:val="36"/>
              <w:keepNext/>
              <w:keepLines/>
              <w:pageBreakBefore w:val="0"/>
              <w:numPr>
                <w:ilvl w:val="-1"/>
                <w:numId w:val="0"/>
              </w:numPr>
              <w:suppressLineNumbers w:val="0"/>
              <w:kinsoku/>
              <w:wordWrap/>
              <w:topLinePunct w:val="0"/>
              <w:bidi w:val="0"/>
              <w:snapToGrid/>
              <w:spacing w:before="0" w:beforeAutospacing="0" w:afterAutospacing="0"/>
              <w:ind w:left="420" w:leftChars="200" w:right="0" w:firstLine="0" w:firstLineChars="0"/>
              <w:rPr>
                <w:rFonts w:hint="default"/>
                <w:vertAlign w:val="baseline"/>
                <w:lang w:val="en-US" w:eastAsia="zh-CN"/>
              </w:rPr>
            </w:pPr>
          </w:p>
        </w:tc>
      </w:tr>
    </w:tbl>
    <w:p>
      <w:pPr>
        <w:keepNext/>
        <w:keepLines/>
        <w:pageBreakBefore w:val="0"/>
        <w:tabs>
          <w:tab w:val="left" w:pos="2127"/>
        </w:tabs>
        <w:kinsoku/>
        <w:wordWrap/>
        <w:topLinePunct w:val="0"/>
        <w:bidi w:val="0"/>
        <w:snapToGrid/>
        <w:spacing w:after="0"/>
        <w:rPr>
          <w:rFonts w:hint="default"/>
          <w:lang w:val="en-US" w:eastAsia="zh-CN"/>
        </w:rPr>
      </w:pPr>
    </w:p>
    <w:p>
      <w:pPr>
        <w:pStyle w:val="57"/>
        <w:keepNext/>
        <w:keepLines/>
        <w:pageBreakBefore w:val="0"/>
        <w:tabs>
          <w:tab w:val="left" w:pos="567"/>
          <w:tab w:val="clear" w:pos="1985"/>
        </w:tabs>
        <w:kinsoku/>
        <w:wordWrap/>
        <w:topLinePunct w:val="0"/>
        <w:bidi w:val="0"/>
        <w:adjustRightInd w:val="0"/>
        <w:snapToGrid/>
        <w:ind w:left="510" w:hanging="510"/>
        <w:rPr>
          <w:rFonts w:eastAsia="Times New Roman"/>
        </w:rPr>
      </w:pPr>
      <w:bookmarkStart w:id="1" w:name="OLE_LINK13"/>
      <w:bookmarkStart w:id="2" w:name="OLE_LINK14"/>
      <w:bookmarkStart w:id="3" w:name="OLE_LINK20"/>
      <w:bookmarkStart w:id="4" w:name="OLE_LINK10"/>
      <w:r>
        <w:rPr>
          <w:rFonts w:hint="eastAsia"/>
          <w:lang w:val="en-US" w:eastAsia="zh-CN"/>
        </w:rPr>
        <w:t>Discussion</w:t>
      </w:r>
      <w:r>
        <w:rPr>
          <w:rFonts w:hint="eastAsia" w:eastAsia="Times New Roman"/>
        </w:rPr>
        <w:t xml:space="preserve"> </w:t>
      </w:r>
    </w:p>
    <w:p>
      <w:pPr>
        <w:pStyle w:val="57"/>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BCS for CA_</w:t>
      </w:r>
      <w:r>
        <w:rPr>
          <w:rFonts w:hint="eastAsia" w:eastAsia="等线"/>
          <w:highlight w:val="none"/>
          <w:lang w:eastAsia="zh-CN"/>
        </w:rPr>
        <w:t>n3+n39</w:t>
      </w:r>
      <w:r>
        <w:rPr>
          <w:rFonts w:hint="eastAsia" w:eastAsia="Times New Roman"/>
          <w:sz w:val="28"/>
          <w:szCs w:val="28"/>
        </w:rPr>
        <w:t xml:space="preserve"> </w:t>
      </w: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In general</w:t>
      </w:r>
      <w:r>
        <w:rPr>
          <w:rFonts w:hint="eastAsia" w:ascii="Times New Roman" w:hAnsi="Times New Roman" w:cs="Times New Roman"/>
          <w:kern w:val="2"/>
          <w:sz w:val="21"/>
          <w:szCs w:val="22"/>
          <w:lang w:val="en-US" w:eastAsia="zh-CN" w:bidi="ar-SA"/>
        </w:rPr>
        <w:t>, BCS is related to the supported channel bandwidth of</w:t>
      </w:r>
      <w:bookmarkStart w:id="5" w:name="OLE_LINK1"/>
      <w:r>
        <w:rPr>
          <w:rFonts w:hint="eastAsia" w:ascii="Times New Roman" w:hAnsi="Times New Roman" w:cs="Times New Roman"/>
          <w:kern w:val="2"/>
          <w:sz w:val="21"/>
          <w:szCs w:val="22"/>
          <w:lang w:val="en-US" w:eastAsia="zh-CN" w:bidi="ar-SA"/>
        </w:rPr>
        <w:t xml:space="preserve"> each constitute band</w:t>
      </w:r>
      <w:bookmarkEnd w:id="5"/>
      <w:r>
        <w:rPr>
          <w:rFonts w:hint="eastAsia" w:ascii="Times New Roman" w:hAnsi="Times New Roman" w:cs="Times New Roman"/>
          <w:kern w:val="2"/>
          <w:sz w:val="21"/>
          <w:szCs w:val="22"/>
          <w:lang w:val="en-US" w:eastAsia="zh-CN" w:bidi="ar-SA"/>
        </w:rPr>
        <w:t xml:space="preserve"> in a inter-band CA band combination. In the current TS38.101-1 specification, several BCSs are defined for a certain inter-band CA band combination, the main reasons are aiming to include all the channel bandwidths in each constitute band in band combination but new channel bandwidth for a band requested by operators are introduced in different stages or different phases. Consequently, additional BCS is needed to include the new channel bandwidth. Moreover, to reduce the work load by introducing many/endless BCSs for a certain band combination, full-power BCS BCS4 and 5 are introduced.</w:t>
      </w: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For CA_n3+n39, due the channel bandwidth in band n3 and band n39 are quite stable, so it is suggested to use BCS0 to include all the channel bandwidth of either n3 or n39 for CA_n3A-n39A. It should noted that only inter-band DL CA is supported.</w:t>
      </w: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In addition, considering the DL frequency range of n3 is immediately closed to n39 UL, so it is proposed that only n3 is supported in the uplink.</w:t>
      </w: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Considering the above,</w:t>
      </w:r>
      <w:bookmarkStart w:id="6" w:name="OLE_LINK4"/>
      <w:r>
        <w:rPr>
          <w:rFonts w:hint="eastAsia" w:ascii="Times New Roman" w:hAnsi="Times New Roman" w:cs="Times New Roman"/>
          <w:kern w:val="2"/>
          <w:sz w:val="21"/>
          <w:szCs w:val="22"/>
          <w:lang w:val="en-US" w:eastAsia="zh-CN" w:bidi="ar-SA"/>
        </w:rPr>
        <w:t xml:space="preserve">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26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bookmarkEnd w:id="6"/>
    </w:tbl>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1.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2.2. RF requirements for Inter-band CA </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 xml:space="preserve">In this section, we provide some initial analysis on the overall requirement for ATG UE supporting inter-band DL CA and also provided the summary of proposals for it. </w:t>
      </w:r>
    </w:p>
    <w:p>
      <w:pPr>
        <w:keepNext/>
        <w:keepLines/>
        <w:pageBreakBefore w:val="0"/>
        <w:tabs>
          <w:tab w:val="left" w:pos="2127"/>
        </w:tabs>
        <w:kinsoku/>
        <w:wordWrap/>
        <w:topLinePunct w:val="0"/>
        <w:bidi w:val="0"/>
        <w:snapToGrid/>
        <w:spacing w:after="0"/>
        <w:jc w:val="center"/>
        <w:rPr>
          <w:rFonts w:hint="eastAsia"/>
          <w:sz w:val="28"/>
          <w:szCs w:val="28"/>
          <w:lang w:val="en-US" w:eastAsia="zh-CN"/>
        </w:rPr>
      </w:pPr>
      <w:r>
        <w:rPr>
          <w:rFonts w:hint="eastAsia"/>
          <w:lang w:val="en-US" w:eastAsia="zh-CN"/>
        </w:rPr>
        <w:t>Table 2. Analysis and summary of proposals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The existing RF requirement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ATG UE supporting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vertAlign w:val="baseline"/>
                <w:lang w:val="en-US" w:eastAsia="zh-CN"/>
              </w:rPr>
            </w:pPr>
            <w:bookmarkStart w:id="7" w:name="_Toc61367346"/>
            <w:bookmarkStart w:id="8" w:name="_Toc75467092"/>
            <w:bookmarkStart w:id="9" w:name="_Toc61372729"/>
            <w:bookmarkStart w:id="10" w:name="_Toc83580414"/>
            <w:bookmarkStart w:id="11" w:name="_Toc84413532"/>
            <w:bookmarkStart w:id="12" w:name="_Toc68230670"/>
            <w:bookmarkStart w:id="13" w:name="_Toc76509114"/>
            <w:bookmarkStart w:id="14" w:name="_Toc76718104"/>
            <w:bookmarkStart w:id="15" w:name="_Toc69084083"/>
            <w:bookmarkStart w:id="16" w:name="_Toc84404923"/>
            <w:r>
              <w:rPr>
                <w:rFonts w:hint="eastAsia" w:ascii="Times New Roman" w:hAnsi="Times New Roman" w:eastAsia="宋体" w:cs="Times New Roman"/>
                <w:b w:val="0"/>
                <w:bCs w:val="0"/>
                <w:kern w:val="2"/>
                <w:sz w:val="21"/>
                <w:szCs w:val="22"/>
                <w:vertAlign w:val="baseline"/>
                <w:lang w:val="en-US" w:eastAsia="zh-CN" w:bidi="ar-SA"/>
              </w:rPr>
              <w:t>6.2A.1.3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for Inter-band CA</w:t>
            </w:r>
            <w:bookmarkEnd w:id="7"/>
            <w:bookmarkEnd w:id="8"/>
            <w:bookmarkEnd w:id="9"/>
            <w:bookmarkEnd w:id="10"/>
            <w:bookmarkEnd w:id="11"/>
            <w:bookmarkEnd w:id="12"/>
            <w:bookmarkEnd w:id="13"/>
            <w:bookmarkEnd w:id="14"/>
            <w:bookmarkEnd w:id="15"/>
            <w:bookmarkEnd w:id="16"/>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reduction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6.2A.3.1.3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additional maximum output power reduction for Inter-band CA</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7" w:name="OLE_LINK5"/>
            <w:bookmarkStart w:id="18" w:name="_Toc45888121"/>
            <w:bookmarkStart w:id="19" w:name="_Toc61367365"/>
            <w:bookmarkStart w:id="20" w:name="_Toc83580433"/>
            <w:bookmarkStart w:id="21" w:name="_Toc84413551"/>
            <w:bookmarkStart w:id="22" w:name="_Toc37251315"/>
            <w:bookmarkStart w:id="23" w:name="_Toc29801758"/>
            <w:bookmarkStart w:id="24" w:name="_Toc76509133"/>
            <w:bookmarkStart w:id="25" w:name="_Toc36107549"/>
            <w:bookmarkStart w:id="26" w:name="_Toc29802182"/>
            <w:bookmarkStart w:id="27" w:name="_Toc29802807"/>
            <w:bookmarkStart w:id="28" w:name="_Toc75467111"/>
            <w:bookmarkStart w:id="29" w:name="_Toc45888720"/>
            <w:bookmarkStart w:id="30" w:name="_Toc68230689"/>
            <w:bookmarkStart w:id="31" w:name="_Toc84404942"/>
            <w:bookmarkStart w:id="32" w:name="_Toc21344272"/>
            <w:bookmarkStart w:id="33" w:name="_Toc61372748"/>
            <w:bookmarkStart w:id="34" w:name="_Toc76718123"/>
            <w:bookmarkStart w:id="35" w:name="_Toc69084102"/>
            <w:r>
              <w:rPr>
                <w:rFonts w:hint="eastAsia" w:ascii="Times New Roman" w:hAnsi="Times New Roman" w:eastAsia="宋体" w:cs="Times New Roman"/>
                <w:b w:val="0"/>
                <w:bCs w:val="0"/>
                <w:kern w:val="2"/>
                <w:sz w:val="21"/>
                <w:szCs w:val="22"/>
                <w:vertAlign w:val="baseline"/>
                <w:lang w:val="en-US" w:eastAsia="zh-CN" w:bidi="ar-SA"/>
              </w:rPr>
              <w:t>6.2A.4.1.3</w:t>
            </w:r>
            <w:r>
              <w:rPr>
                <w:rFonts w:hint="eastAsia" w:ascii="Times New Roman" w:hAnsi="Times New Roman" w:cs="Times New Roman"/>
                <w:b w:val="0"/>
                <w:bCs w:val="0"/>
                <w:kern w:val="2"/>
                <w:sz w:val="21"/>
                <w:szCs w:val="22"/>
                <w:vertAlign w:val="baseline"/>
                <w:lang w:val="en-US" w:eastAsia="zh-CN" w:bidi="ar-SA"/>
              </w:rPr>
              <w:t xml:space="preserve"> </w:t>
            </w:r>
            <w:bookmarkEnd w:id="17"/>
            <w:r>
              <w:rPr>
                <w:rFonts w:hint="eastAsia" w:ascii="Times New Roman" w:hAnsi="Times New Roman" w:eastAsia="宋体" w:cs="Times New Roman"/>
                <w:b w:val="0"/>
                <w:bCs w:val="0"/>
                <w:kern w:val="2"/>
                <w:sz w:val="21"/>
                <w:szCs w:val="22"/>
                <w:vertAlign w:val="baseline"/>
                <w:lang w:val="en-US" w:eastAsia="zh-CN" w:bidi="ar-SA"/>
              </w:rPr>
              <w:t>Configured transmitted power for Inter-band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36" w:name="_Toc75467190"/>
            <w:bookmarkStart w:id="37" w:name="_Toc61372826"/>
            <w:bookmarkStart w:id="38" w:name="_Toc76509212"/>
            <w:bookmarkStart w:id="39" w:name="_Toc69084180"/>
            <w:bookmarkStart w:id="40" w:name="_Toc83580523"/>
            <w:bookmarkStart w:id="41" w:name="_Toc84413641"/>
            <w:bookmarkStart w:id="42" w:name="_Toc61367443"/>
            <w:bookmarkStart w:id="43" w:name="_Toc68230767"/>
            <w:bookmarkStart w:id="44" w:name="_Toc76718202"/>
            <w:bookmarkStart w:id="45" w:name="_Toc84405032"/>
            <w:r>
              <w:rPr>
                <w:rFonts w:hint="eastAsia" w:ascii="Times New Roman" w:hAnsi="Times New Roman" w:eastAsia="宋体" w:cs="Times New Roman"/>
                <w:b w:val="0"/>
                <w:bCs w:val="0"/>
                <w:kern w:val="2"/>
                <w:sz w:val="21"/>
                <w:szCs w:val="22"/>
                <w:vertAlign w:val="baseline"/>
                <w:lang w:val="en-US" w:eastAsia="zh-CN" w:bidi="ar-SA"/>
              </w:rPr>
              <w:t>6.3A.1.3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Minimum output power for inter-band CA</w:t>
            </w:r>
            <w:bookmarkEnd w:id="36"/>
            <w:bookmarkEnd w:id="37"/>
            <w:bookmarkEnd w:id="38"/>
            <w:bookmarkEnd w:id="39"/>
            <w:bookmarkEnd w:id="40"/>
            <w:bookmarkEnd w:id="41"/>
            <w:bookmarkEnd w:id="42"/>
            <w:bookmarkEnd w:id="43"/>
            <w:bookmarkEnd w:id="44"/>
            <w:bookmarkEnd w:id="4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OFF power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ON/OFF time mask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46" w:name="_Toc69084208"/>
            <w:bookmarkStart w:id="47" w:name="_Toc76718230"/>
            <w:bookmarkStart w:id="48" w:name="_Toc68230795"/>
            <w:bookmarkStart w:id="49" w:name="_Toc84413669"/>
            <w:bookmarkStart w:id="50" w:name="_Toc75467218"/>
            <w:bookmarkStart w:id="51" w:name="_Toc84405060"/>
            <w:bookmarkStart w:id="52" w:name="_Toc76509240"/>
            <w:bookmarkStart w:id="53" w:name="_Toc83580551"/>
            <w:bookmarkStart w:id="54" w:name="_Toc61367468"/>
            <w:bookmarkStart w:id="55" w:name="_Toc61372851"/>
            <w:r>
              <w:rPr>
                <w:rFonts w:hint="eastAsia" w:ascii="Times New Roman" w:hAnsi="Times New Roman" w:eastAsia="宋体" w:cs="Times New Roman"/>
                <w:b w:val="0"/>
                <w:bCs w:val="0"/>
                <w:kern w:val="2"/>
                <w:sz w:val="21"/>
                <w:szCs w:val="22"/>
                <w:vertAlign w:val="baseline"/>
                <w:lang w:val="en-US" w:eastAsia="zh-CN" w:bidi="ar-SA"/>
              </w:rPr>
              <w:t>6.3A.4.3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Power control for inter-band CA</w:t>
            </w:r>
            <w:bookmarkEnd w:id="46"/>
            <w:bookmarkEnd w:id="47"/>
            <w:bookmarkEnd w:id="48"/>
            <w:bookmarkEnd w:id="49"/>
            <w:bookmarkEnd w:id="50"/>
            <w:bookmarkEnd w:id="51"/>
            <w:bookmarkEnd w:id="52"/>
            <w:bookmarkEnd w:id="53"/>
            <w:bookmarkEnd w:id="54"/>
            <w:bookmarkEnd w:id="5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No requirements unique to CA operation are defined.</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6" w:name="_Toc68230853"/>
            <w:bookmarkStart w:id="57" w:name="_Toc83580619"/>
            <w:bookmarkStart w:id="58" w:name="_Toc61372905"/>
            <w:bookmarkStart w:id="59" w:name="_Toc76509298"/>
            <w:bookmarkStart w:id="60" w:name="_Toc69084266"/>
            <w:bookmarkStart w:id="61" w:name="_Toc84413737"/>
            <w:bookmarkStart w:id="62" w:name="_Toc61367522"/>
            <w:bookmarkStart w:id="63" w:name="_Toc75467276"/>
            <w:bookmarkStart w:id="64" w:name="_Toc84405128"/>
            <w:bookmarkStart w:id="65" w:name="_Toc76718288"/>
            <w:r>
              <w:rPr>
                <w:rFonts w:hint="eastAsia" w:ascii="Times New Roman" w:hAnsi="Times New Roman" w:eastAsia="宋体" w:cs="Times New Roman"/>
                <w:b w:val="0"/>
                <w:bCs w:val="0"/>
                <w:kern w:val="2"/>
                <w:sz w:val="21"/>
                <w:szCs w:val="22"/>
                <w:vertAlign w:val="baseline"/>
                <w:lang w:val="en-US" w:eastAsia="zh-CN" w:bidi="ar-SA"/>
              </w:rPr>
              <w:t>6.4A.1.3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Frequency error for inter-band CA</w:t>
            </w:r>
            <w:bookmarkEnd w:id="56"/>
            <w:bookmarkEnd w:id="57"/>
            <w:bookmarkEnd w:id="58"/>
            <w:bookmarkEnd w:id="59"/>
            <w:bookmarkEnd w:id="60"/>
            <w:bookmarkEnd w:id="61"/>
            <w:bookmarkEnd w:id="62"/>
            <w:bookmarkEnd w:id="63"/>
            <w:bookmarkEnd w:id="64"/>
            <w:bookmarkEnd w:id="6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6.4A.2.3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modulation quality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6" w:name="_Toc61373000"/>
            <w:bookmarkStart w:id="67" w:name="_Toc76509394"/>
            <w:bookmarkStart w:id="68" w:name="_Toc61367617"/>
            <w:bookmarkStart w:id="69" w:name="_Toc69084362"/>
            <w:bookmarkStart w:id="70" w:name="_Toc68230949"/>
            <w:bookmarkStart w:id="71" w:name="_Toc83580723"/>
            <w:bookmarkStart w:id="72" w:name="_Toc76718384"/>
            <w:bookmarkStart w:id="73" w:name="_Toc84413841"/>
            <w:bookmarkStart w:id="74" w:name="_Toc75467372"/>
            <w:bookmarkStart w:id="75" w:name="_Toc84405232"/>
            <w:r>
              <w:rPr>
                <w:rFonts w:hint="eastAsia" w:ascii="Times New Roman" w:hAnsi="Times New Roman" w:eastAsia="宋体" w:cs="Times New Roman"/>
                <w:b w:val="0"/>
                <w:bCs w:val="0"/>
                <w:kern w:val="2"/>
                <w:sz w:val="21"/>
                <w:szCs w:val="22"/>
                <w:vertAlign w:val="baseline"/>
                <w:lang w:val="en-US" w:eastAsia="zh-CN" w:bidi="ar-SA"/>
              </w:rPr>
              <w:t>6.5A.1.3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Occupied bandwidth for Inter-band CA</w:t>
            </w:r>
            <w:bookmarkEnd w:id="66"/>
            <w:bookmarkEnd w:id="67"/>
            <w:bookmarkEnd w:id="68"/>
            <w:bookmarkEnd w:id="69"/>
            <w:bookmarkEnd w:id="70"/>
            <w:bookmarkEnd w:id="71"/>
            <w:bookmarkEnd w:id="72"/>
            <w:bookmarkEnd w:id="73"/>
            <w:bookmarkEnd w:id="74"/>
            <w:bookmarkEnd w:id="7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6.5A.2.2.3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Spectrum emission mask for Inter-band CA</w:t>
            </w:r>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76" w:name="_Toc61367629"/>
            <w:bookmarkStart w:id="77" w:name="_Toc84413852"/>
            <w:bookmarkStart w:id="78" w:name="_Toc68230961"/>
            <w:bookmarkStart w:id="79" w:name="_Toc84405243"/>
            <w:bookmarkStart w:id="80" w:name="_Toc69084374"/>
            <w:bookmarkStart w:id="81" w:name="_Toc83580734"/>
            <w:bookmarkStart w:id="82" w:name="_Toc76509406"/>
            <w:bookmarkStart w:id="83" w:name="_Toc61373012"/>
            <w:bookmarkStart w:id="84" w:name="_Toc75467384"/>
            <w:bookmarkStart w:id="85" w:name="_Toc76718396"/>
            <w:r>
              <w:rPr>
                <w:rFonts w:hint="eastAsia" w:ascii="Times New Roman" w:hAnsi="Times New Roman" w:eastAsia="宋体" w:cs="Times New Roman"/>
                <w:b w:val="0"/>
                <w:bCs w:val="0"/>
                <w:kern w:val="2"/>
                <w:sz w:val="21"/>
                <w:szCs w:val="22"/>
                <w:vertAlign w:val="baseline"/>
                <w:lang w:val="en-US" w:eastAsia="zh-CN" w:bidi="ar-SA"/>
              </w:rPr>
              <w:t>6.5A.2.3.3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Additional spectrum emission mask for Inter-band CA</w:t>
            </w:r>
            <w:bookmarkEnd w:id="76"/>
            <w:bookmarkEnd w:id="77"/>
            <w:bookmarkEnd w:id="78"/>
            <w:bookmarkEnd w:id="79"/>
            <w:bookmarkEnd w:id="80"/>
            <w:bookmarkEnd w:id="81"/>
            <w:bookmarkEnd w:id="82"/>
            <w:bookmarkEnd w:id="83"/>
            <w:bookmarkEnd w:id="84"/>
            <w:bookmarkEnd w:id="8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86" w:name="_Toc75467393"/>
            <w:bookmarkStart w:id="87" w:name="_Toc69084383"/>
            <w:bookmarkStart w:id="88" w:name="_Toc61367638"/>
            <w:bookmarkStart w:id="89" w:name="_Toc61373021"/>
            <w:bookmarkStart w:id="90" w:name="_Toc76509415"/>
            <w:bookmarkStart w:id="91" w:name="_Toc84405252"/>
            <w:bookmarkStart w:id="92" w:name="_Toc76718405"/>
            <w:bookmarkStart w:id="93" w:name="_Toc84413861"/>
            <w:bookmarkStart w:id="94" w:name="_Toc68230970"/>
            <w:bookmarkStart w:id="95" w:name="_Toc83580743"/>
            <w:r>
              <w:rPr>
                <w:rFonts w:hint="eastAsia" w:ascii="Times New Roman" w:hAnsi="Times New Roman" w:eastAsia="宋体" w:cs="Times New Roman"/>
                <w:b w:val="0"/>
                <w:bCs w:val="0"/>
                <w:kern w:val="2"/>
                <w:sz w:val="21"/>
                <w:szCs w:val="22"/>
                <w:vertAlign w:val="baseline"/>
                <w:lang w:val="en-US" w:eastAsia="zh-CN" w:bidi="ar-SA"/>
              </w:rPr>
              <w:t>6.5A.3.2.3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UE co-existence for Inter-band CA</w:t>
            </w:r>
            <w:bookmarkEnd w:id="86"/>
            <w:bookmarkEnd w:id="87"/>
            <w:bookmarkEnd w:id="88"/>
            <w:bookmarkEnd w:id="89"/>
            <w:bookmarkEnd w:id="90"/>
            <w:bookmarkEnd w:id="91"/>
            <w:bookmarkEnd w:id="92"/>
            <w:bookmarkEnd w:id="93"/>
            <w:bookmarkEnd w:id="94"/>
            <w:bookmarkEnd w:id="9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96" w:name="_Toc36107715"/>
            <w:bookmarkStart w:id="97" w:name="_Toc84413947"/>
            <w:bookmarkStart w:id="98" w:name="_Toc29801924"/>
            <w:bookmarkStart w:id="99" w:name="_Toc68231046"/>
            <w:bookmarkStart w:id="100" w:name="_Toc69084459"/>
            <w:bookmarkStart w:id="101" w:name="_Toc45888995"/>
            <w:bookmarkStart w:id="102" w:name="_Toc29802973"/>
            <w:bookmarkStart w:id="103" w:name="_Toc83580829"/>
            <w:bookmarkStart w:id="104" w:name="_Toc76718482"/>
            <w:bookmarkStart w:id="105" w:name="_Toc37251489"/>
            <w:bookmarkStart w:id="106" w:name="_Toc75467470"/>
            <w:bookmarkStart w:id="107" w:name="_Toc76509492"/>
            <w:bookmarkStart w:id="108" w:name="_Toc61367713"/>
            <w:bookmarkStart w:id="109" w:name="_Toc29802348"/>
            <w:bookmarkStart w:id="110" w:name="_Toc21344437"/>
            <w:bookmarkStart w:id="111" w:name="_Toc45888396"/>
            <w:bookmarkStart w:id="112" w:name="_Toc61373096"/>
            <w:bookmarkStart w:id="113" w:name="_Toc84405338"/>
            <w:r>
              <w:rPr>
                <w:rFonts w:hint="eastAsia" w:ascii="Times New Roman" w:hAnsi="Times New Roman" w:eastAsia="宋体" w:cs="Times New Roman"/>
                <w:b w:val="0"/>
                <w:bCs w:val="0"/>
                <w:kern w:val="2"/>
                <w:sz w:val="21"/>
                <w:szCs w:val="22"/>
                <w:vertAlign w:val="baseline"/>
                <w:lang w:val="en-US" w:eastAsia="zh-CN" w:bidi="ar-SA"/>
              </w:rPr>
              <w:t>7.3A.2.3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Reference sensitivity power level for Inter-band CA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Reference sensitivity power level for Inter-band CA</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t>
            </w:r>
            <w:r>
              <w:rPr>
                <w:rFonts w:hint="default"/>
                <w:color w:val="FF0000"/>
                <w:highlight w:val="none"/>
              </w:rPr>
              <w:t>with parameters specified in  Table 7.3.2-1, Table 7.3.2-2 and Table 7.3.2-3 modified in accordance with clause 7.3A.3.2</w:t>
            </w:r>
            <w:r>
              <w:rPr>
                <w:rFonts w:hint="default"/>
              </w:rPr>
              <w:t xml:space="preserve">. </w:t>
            </w:r>
            <w:r>
              <w:rPr>
                <w:rFonts w:hint="default"/>
                <w:highlight w:val="none"/>
              </w:rPr>
              <w:t xml:space="preserve">The reference sensitivity is defined to be met with </w:t>
            </w:r>
            <w:r>
              <w:rPr>
                <w:rFonts w:hint="default"/>
                <w:highlight w:val="none"/>
                <w:lang w:eastAsia="zh-CN"/>
              </w:rPr>
              <w:t>all</w:t>
            </w:r>
            <w:r>
              <w:rPr>
                <w:rFonts w:hint="default"/>
                <w:highlight w:val="none"/>
              </w:rPr>
              <w:t xml:space="preserve"> downlink component carriers active and one of the uplink carriers active.</w:t>
            </w:r>
            <w:r>
              <w:rPr>
                <w:rFonts w:hint="default"/>
              </w:rPr>
              <w:t xml:space="preserve"> Exceptions to reference sensitivity are allowed in accordance with clause 7.3A.4.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14" w:name="_Toc45888999"/>
            <w:bookmarkStart w:id="115" w:name="_Toc68231050"/>
            <w:bookmarkStart w:id="116" w:name="_Toc29801928"/>
            <w:bookmarkStart w:id="117" w:name="_Toc75467474"/>
            <w:bookmarkStart w:id="118" w:name="_Toc37251493"/>
            <w:bookmarkStart w:id="119" w:name="_Toc36107719"/>
            <w:bookmarkStart w:id="120" w:name="_Toc83580833"/>
            <w:bookmarkStart w:id="121" w:name="_Toc21344441"/>
            <w:bookmarkStart w:id="122" w:name="_Toc84413951"/>
            <w:bookmarkStart w:id="123" w:name="_Toc29802977"/>
            <w:bookmarkStart w:id="124" w:name="_Toc45888400"/>
            <w:bookmarkStart w:id="125" w:name="_Toc69084463"/>
            <w:bookmarkStart w:id="126" w:name="_Toc61367717"/>
            <w:bookmarkStart w:id="127" w:name="_Toc76509496"/>
            <w:bookmarkStart w:id="128" w:name="_Toc29802352"/>
            <w:bookmarkStart w:id="129" w:name="_Toc76718486"/>
            <w:bookmarkStart w:id="130" w:name="_Toc84405342"/>
            <w:bookmarkStart w:id="131" w:name="_Toc61373100"/>
            <w:r>
              <w:rPr>
                <w:rFonts w:hint="eastAsia" w:ascii="Times New Roman" w:hAnsi="Times New Roman" w:eastAsia="宋体" w:cs="Times New Roman"/>
                <w:b w:val="0"/>
                <w:bCs w:val="0"/>
                <w:kern w:val="2"/>
                <w:sz w:val="21"/>
                <w:szCs w:val="22"/>
                <w:vertAlign w:val="baseline"/>
                <w:lang w:val="en-US" w:eastAsia="zh-CN" w:bidi="ar-SA"/>
              </w:rPr>
              <w:t>7.3A.3.2</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ΔRIB,c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This needs further discussions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32" w:name="_Toc36107740"/>
            <w:bookmarkStart w:id="133" w:name="_Toc21344461"/>
            <w:bookmarkStart w:id="134" w:name="_Toc29801949"/>
            <w:bookmarkStart w:id="135" w:name="_Toc76509532"/>
            <w:bookmarkStart w:id="136" w:name="_Toc37251514"/>
            <w:bookmarkStart w:id="137" w:name="_Toc61367751"/>
            <w:bookmarkStart w:id="138" w:name="_Toc76718522"/>
            <w:bookmarkStart w:id="139" w:name="_Toc83580869"/>
            <w:bookmarkStart w:id="140" w:name="_Toc29802998"/>
            <w:bookmarkStart w:id="141" w:name="_Toc69084497"/>
            <w:bookmarkStart w:id="142" w:name="_Toc29802373"/>
            <w:bookmarkStart w:id="143" w:name="_Toc84405378"/>
            <w:bookmarkStart w:id="144" w:name="_Toc75467510"/>
            <w:bookmarkStart w:id="145" w:name="_Toc45888426"/>
            <w:bookmarkStart w:id="146" w:name="_Toc45889025"/>
            <w:bookmarkStart w:id="147" w:name="_Toc68231084"/>
            <w:bookmarkStart w:id="148" w:name="_Toc84413987"/>
            <w:bookmarkStart w:id="149" w:name="_Toc61373134"/>
            <w:r>
              <w:rPr>
                <w:rFonts w:hint="eastAsia" w:ascii="Times New Roman" w:hAnsi="Times New Roman" w:eastAsia="宋体" w:cs="Times New Roman"/>
                <w:b w:val="0"/>
                <w:bCs w:val="0"/>
                <w:kern w:val="2"/>
                <w:sz w:val="21"/>
                <w:szCs w:val="22"/>
                <w:vertAlign w:val="baseline"/>
                <w:lang w:val="en-US" w:eastAsia="zh-CN" w:bidi="ar-SA"/>
              </w:rPr>
              <w:t>7.4A.3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Maximum input level for Inter-band CA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Maximum input level for Inter-band CA</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w:t>
            </w:r>
            <w:r>
              <w:rPr>
                <w:rFonts w:hint="default"/>
                <w:color w:val="FF0000"/>
              </w:rPr>
              <w:t>The UE shall meet the requirements specified in clause 7.4</w:t>
            </w:r>
            <w:r>
              <w:rPr>
                <w:rFonts w:hint="eastAsia"/>
                <w:color w:val="FF0000"/>
                <w:lang w:val="en-US" w:eastAsia="zh-CN"/>
              </w:rPr>
              <w:t>J</w:t>
            </w:r>
            <w:r>
              <w:rPr>
                <w:rFonts w:hint="default"/>
                <w:color w:val="FF0000"/>
              </w:rPr>
              <w:t xml:space="preserve"> for each component carrier while all downlink carriers are active</w:t>
            </w:r>
            <w:r>
              <w:rPr>
                <w:rFonts w:hint="default"/>
              </w:rPr>
              <w:t>.</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The throughput shall be ≥ 95 % of the maximum throughput of the reference measurement channels as specified in Annexs A.3.2 and A.3.3 (with one sided dynamic OCNG Pattern OP.1 FDD/TDD as described in Annex A.5.1.1/A.5.2.1)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50" w:name="_Toc21344467"/>
            <w:bookmarkStart w:id="151" w:name="_Toc69084507"/>
            <w:bookmarkStart w:id="152" w:name="_Toc84413997"/>
            <w:bookmarkStart w:id="153" w:name="_Toc37251520"/>
            <w:bookmarkStart w:id="154" w:name="_Toc29801955"/>
            <w:bookmarkStart w:id="155" w:name="_Toc83580879"/>
            <w:bookmarkStart w:id="156" w:name="_Toc68231094"/>
            <w:bookmarkStart w:id="157" w:name="_Toc29802379"/>
            <w:bookmarkStart w:id="158" w:name="_Toc36107746"/>
            <w:bookmarkStart w:id="159" w:name="_Toc61373144"/>
            <w:bookmarkStart w:id="160" w:name="_Toc45889035"/>
            <w:bookmarkStart w:id="161" w:name="_Toc29803004"/>
            <w:bookmarkStart w:id="162" w:name="_Toc84405388"/>
            <w:bookmarkStart w:id="163" w:name="_Toc76509542"/>
            <w:bookmarkStart w:id="164" w:name="_Toc45888436"/>
            <w:bookmarkStart w:id="165" w:name="_Toc61367761"/>
            <w:bookmarkStart w:id="166" w:name="_Toc75467520"/>
            <w:bookmarkStart w:id="167" w:name="_Toc76718532"/>
            <w:r>
              <w:rPr>
                <w:rFonts w:hint="eastAsia" w:ascii="Times New Roman" w:hAnsi="Times New Roman" w:eastAsia="宋体" w:cs="Times New Roman"/>
                <w:b w:val="0"/>
                <w:bCs w:val="0"/>
                <w:kern w:val="2"/>
                <w:sz w:val="21"/>
                <w:szCs w:val="22"/>
                <w:vertAlign w:val="baseline"/>
                <w:lang w:val="en-US" w:eastAsia="zh-CN" w:bidi="ar-SA"/>
              </w:rPr>
              <w:t>7.5A.3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Adjacent channel selectivity Inter-band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suppressLineNumbers w:val="0"/>
              <w:kinsoku/>
              <w:wordWrap/>
              <w:topLinePunct w:val="0"/>
              <w:bidi w:val="0"/>
              <w:snapToGrid/>
              <w:spacing w:before="0" w:beforeAutospacing="0" w:afterAutospacing="0"/>
              <w:ind w:left="0" w:right="0"/>
              <w:rPr>
                <w:rFonts w:hint="default"/>
              </w:rPr>
            </w:pPr>
            <w:r>
              <w:rPr>
                <w:rFonts w:hint="eastAsia" w:ascii="Times New Roman" w:hAnsi="Times New Roman" w:eastAsia="宋体" w:cs="Times New Roman"/>
                <w:b/>
                <w:bCs/>
                <w:kern w:val="2"/>
                <w:sz w:val="21"/>
                <w:szCs w:val="22"/>
                <w:vertAlign w:val="baseline"/>
                <w:lang w:val="en-US" w:eastAsia="zh-CN" w:bidi="ar-SA"/>
              </w:rPr>
              <w:t>Adjacent channel selectivity Inter-band CA</w:t>
            </w:r>
          </w:p>
          <w:p>
            <w:pPr>
              <w:keepNext/>
              <w:keepLines/>
              <w:pageBreakBefore w:val="0"/>
              <w:suppressLineNumbers w:val="0"/>
              <w:kinsoku/>
              <w:wordWrap/>
              <w:topLinePunct w:val="0"/>
              <w:bidi w:val="0"/>
              <w:snapToGrid/>
              <w:spacing w:before="0" w:beforeAutospacing="0" w:afterAutospacing="0"/>
              <w:ind w:left="0" w:right="0"/>
              <w:rPr>
                <w:rFonts w:hint="default"/>
                <w:color w:val="FF0000"/>
              </w:rPr>
            </w:pPr>
            <w:r>
              <w:rPr>
                <w:rFonts w:hint="default"/>
              </w:rPr>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w:t>
            </w:r>
            <w:r>
              <w:rPr>
                <w:rFonts w:hint="default"/>
                <w:color w:val="FF0000"/>
              </w:rPr>
              <w:t xml:space="preserve">The </w:t>
            </w:r>
            <w:r>
              <w:rPr>
                <w:rFonts w:hint="eastAsia"/>
                <w:color w:val="FF0000"/>
                <w:lang w:val="en-US" w:eastAsia="zh-CN"/>
              </w:rPr>
              <w:t xml:space="preserve">ATG </w:t>
            </w:r>
            <w:r>
              <w:rPr>
                <w:rFonts w:hint="default"/>
                <w:color w:val="FF0000"/>
              </w:rPr>
              <w:t>UE shall meet the requirements specified in clause 7.5</w:t>
            </w:r>
            <w:r>
              <w:rPr>
                <w:rFonts w:hint="eastAsia"/>
                <w:color w:val="FF0000"/>
                <w:lang w:val="en-US" w:eastAsia="zh-CN"/>
              </w:rPr>
              <w:t>J</w:t>
            </w:r>
            <w:r>
              <w:rPr>
                <w:rFonts w:hint="default"/>
                <w:color w:val="FF0000"/>
              </w:rPr>
              <w:t>, for each component carrier while all downlink carriers are active.</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The throughput of each carrier shall be ≥ 95 % of the maximum throughput of the reference measurement channels as specified in Annexes A.2.2, A.3.2, and A.3.3 (with one sided dynamic OCNG Pattern OP.1 FDD/TDD for the DL-signal as described in Annex A.5.1.1/A.5.2.1).</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68" w:name="_Toc36107758"/>
            <w:bookmarkStart w:id="169" w:name="_Toc69084526"/>
            <w:bookmarkStart w:id="170" w:name="_Toc45888452"/>
            <w:bookmarkStart w:id="171" w:name="_Toc76718551"/>
            <w:bookmarkStart w:id="172" w:name="_Toc68231113"/>
            <w:bookmarkStart w:id="173" w:name="_Toc84405407"/>
            <w:bookmarkStart w:id="174" w:name="_Toc84414016"/>
            <w:bookmarkStart w:id="175" w:name="_Toc29803016"/>
            <w:bookmarkStart w:id="176" w:name="_Toc37251532"/>
            <w:bookmarkStart w:id="177" w:name="_Toc29802391"/>
            <w:bookmarkStart w:id="178" w:name="_Toc45889051"/>
            <w:bookmarkStart w:id="179" w:name="_Toc75467539"/>
            <w:bookmarkStart w:id="180" w:name="_Toc61373163"/>
            <w:bookmarkStart w:id="181" w:name="_Toc76509561"/>
            <w:bookmarkStart w:id="182" w:name="_Toc61367780"/>
            <w:bookmarkStart w:id="183" w:name="_Toc29801967"/>
            <w:bookmarkStart w:id="184" w:name="_Toc83580898"/>
            <w:bookmarkStart w:id="185" w:name="_Toc21344479"/>
            <w:r>
              <w:rPr>
                <w:rFonts w:hint="eastAsia" w:ascii="Times New Roman" w:hAnsi="Times New Roman" w:eastAsia="宋体" w:cs="Times New Roman"/>
                <w:b w:val="0"/>
                <w:bCs w:val="0"/>
                <w:kern w:val="2"/>
                <w:sz w:val="21"/>
                <w:szCs w:val="22"/>
                <w:vertAlign w:val="baseline"/>
                <w:lang w:val="en-US" w:eastAsia="zh-CN" w:bidi="ar-SA"/>
              </w:rPr>
              <w:t>7.6A.2.3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In-band blocking for Inter-band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86" w:name="_Toc76718555"/>
            <w:bookmarkStart w:id="187" w:name="_Toc45888456"/>
            <w:bookmarkStart w:id="188" w:name="_Toc83580902"/>
            <w:bookmarkStart w:id="189" w:name="_Toc68231117"/>
            <w:bookmarkStart w:id="190" w:name="_Toc84414020"/>
            <w:bookmarkStart w:id="191" w:name="_Toc21344483"/>
            <w:bookmarkStart w:id="192" w:name="_Toc29802395"/>
            <w:bookmarkStart w:id="193" w:name="_Toc45889055"/>
            <w:bookmarkStart w:id="194" w:name="_Toc36107762"/>
            <w:bookmarkStart w:id="195" w:name="_Toc29801971"/>
            <w:bookmarkStart w:id="196" w:name="_Toc61367784"/>
            <w:bookmarkStart w:id="197" w:name="_Toc75467543"/>
            <w:bookmarkStart w:id="198" w:name="_Toc61373167"/>
            <w:bookmarkStart w:id="199" w:name="_Toc76509565"/>
            <w:bookmarkStart w:id="200" w:name="_Toc84405411"/>
            <w:bookmarkStart w:id="201" w:name="_Toc29803020"/>
            <w:bookmarkStart w:id="202" w:name="_Toc69084530"/>
            <w:bookmarkStart w:id="203" w:name="_Toc37251536"/>
            <w:r>
              <w:rPr>
                <w:rFonts w:hint="eastAsia" w:ascii="Times New Roman" w:hAnsi="Times New Roman" w:eastAsia="宋体" w:cs="Times New Roman"/>
                <w:b w:val="0"/>
                <w:bCs w:val="0"/>
                <w:kern w:val="2"/>
                <w:sz w:val="21"/>
                <w:szCs w:val="22"/>
                <w:vertAlign w:val="baseline"/>
                <w:lang w:val="en-US" w:eastAsia="zh-CN" w:bidi="ar-SA"/>
              </w:rPr>
              <w:t>7.6A.3.3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Out-of-band blocking for Inter-band CA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7.6A.3.3</w:t>
            </w:r>
            <w:r>
              <w:rPr>
                <w:rFonts w:hint="eastAsia"/>
                <w:lang w:val="en-US" w:eastAsia="zh-CN"/>
              </w:rPr>
              <w:t>. And no OOB exception for CA_n3-n39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04" w:name="_Toc69084534"/>
            <w:bookmarkStart w:id="205" w:name="_Toc84405415"/>
            <w:bookmarkStart w:id="206" w:name="_Toc76718559"/>
            <w:bookmarkStart w:id="207" w:name="_Toc68231121"/>
            <w:bookmarkStart w:id="208" w:name="_Toc83580906"/>
            <w:bookmarkStart w:id="209" w:name="_Toc37251540"/>
            <w:bookmarkStart w:id="210" w:name="_Toc61373171"/>
            <w:bookmarkStart w:id="211" w:name="_Toc21344487"/>
            <w:bookmarkStart w:id="212" w:name="_Toc36107766"/>
            <w:bookmarkStart w:id="213" w:name="_Toc45888460"/>
            <w:bookmarkStart w:id="214" w:name="_Toc76509569"/>
            <w:bookmarkStart w:id="215" w:name="_Toc29803024"/>
            <w:bookmarkStart w:id="216" w:name="_Toc45889059"/>
            <w:bookmarkStart w:id="217" w:name="_Toc29801975"/>
            <w:bookmarkStart w:id="218" w:name="_Toc84414024"/>
            <w:bookmarkStart w:id="219" w:name="_Toc61367788"/>
            <w:bookmarkStart w:id="220" w:name="_Toc75467547"/>
            <w:bookmarkStart w:id="221" w:name="_Toc29802399"/>
            <w:r>
              <w:rPr>
                <w:rFonts w:hint="eastAsia" w:ascii="Times New Roman" w:hAnsi="Times New Roman" w:eastAsia="宋体" w:cs="Times New Roman"/>
                <w:b w:val="0"/>
                <w:bCs w:val="0"/>
                <w:kern w:val="2"/>
                <w:sz w:val="21"/>
                <w:szCs w:val="22"/>
                <w:vertAlign w:val="baseline"/>
                <w:lang w:val="en-US" w:eastAsia="zh-CN" w:bidi="ar-SA"/>
              </w:rPr>
              <w:t>7.6A.4.3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Narrow band blocking for Inter-band CA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22" w:name="_Toc84414052"/>
            <w:bookmarkStart w:id="223" w:name="_Toc61373199"/>
            <w:bookmarkStart w:id="224" w:name="_Toc36107777"/>
            <w:bookmarkStart w:id="225" w:name="_Toc45888480"/>
            <w:bookmarkStart w:id="226" w:name="_Toc68231149"/>
            <w:bookmarkStart w:id="227" w:name="_Toc76509597"/>
            <w:bookmarkStart w:id="228" w:name="_Toc76718587"/>
            <w:bookmarkStart w:id="229" w:name="_Toc69084562"/>
            <w:bookmarkStart w:id="230" w:name="_Toc83580934"/>
            <w:bookmarkStart w:id="231" w:name="_Toc61367816"/>
            <w:bookmarkStart w:id="232" w:name="_Toc29803035"/>
            <w:bookmarkStart w:id="233" w:name="_Toc84405443"/>
            <w:bookmarkStart w:id="234" w:name="_Toc75467575"/>
            <w:bookmarkStart w:id="235" w:name="_Toc29802410"/>
            <w:bookmarkStart w:id="236" w:name="_Toc21344498"/>
            <w:bookmarkStart w:id="237" w:name="_Toc29801986"/>
            <w:bookmarkStart w:id="238" w:name="_Toc37251551"/>
            <w:bookmarkStart w:id="239" w:name="_Toc45889079"/>
            <w:r>
              <w:rPr>
                <w:rFonts w:hint="eastAsia" w:ascii="Times New Roman" w:hAnsi="Times New Roman" w:eastAsia="宋体" w:cs="Times New Roman"/>
                <w:b w:val="0"/>
                <w:bCs w:val="0"/>
                <w:kern w:val="2"/>
                <w:sz w:val="21"/>
                <w:szCs w:val="22"/>
                <w:vertAlign w:val="baseline"/>
                <w:lang w:val="en-US" w:eastAsia="zh-CN" w:bidi="ar-SA"/>
              </w:rPr>
              <w:t>7.7A.3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response for Inter-band CA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7.7A.3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40" w:name="_Toc61373216"/>
            <w:bookmarkStart w:id="241" w:name="_Toc37251561"/>
            <w:bookmarkStart w:id="242" w:name="_Toc83580951"/>
            <w:bookmarkStart w:id="243" w:name="_Toc29802420"/>
            <w:bookmarkStart w:id="244" w:name="_Toc29801996"/>
            <w:bookmarkStart w:id="245" w:name="_Toc75467592"/>
            <w:bookmarkStart w:id="246" w:name="_Toc84405460"/>
            <w:bookmarkStart w:id="247" w:name="_Toc29803045"/>
            <w:bookmarkStart w:id="248" w:name="_Toc76718604"/>
            <w:bookmarkStart w:id="249" w:name="_Toc68231166"/>
            <w:bookmarkStart w:id="250" w:name="_Toc61367833"/>
            <w:bookmarkStart w:id="251" w:name="_Toc84414069"/>
            <w:bookmarkStart w:id="252" w:name="_Toc76509614"/>
            <w:bookmarkStart w:id="253" w:name="_Toc45888494"/>
            <w:bookmarkStart w:id="254" w:name="_Toc21344508"/>
            <w:bookmarkStart w:id="255" w:name="_Toc45889093"/>
            <w:bookmarkStart w:id="256" w:name="_Toc69084579"/>
            <w:bookmarkStart w:id="257" w:name="_Toc36107787"/>
            <w:r>
              <w:rPr>
                <w:rFonts w:hint="eastAsia" w:ascii="Times New Roman" w:hAnsi="Times New Roman" w:eastAsia="宋体" w:cs="Times New Roman"/>
                <w:b w:val="0"/>
                <w:bCs w:val="0"/>
                <w:kern w:val="2"/>
                <w:sz w:val="21"/>
                <w:szCs w:val="22"/>
                <w:vertAlign w:val="baseline"/>
                <w:lang w:val="en-US" w:eastAsia="zh-CN" w:bidi="ar-SA"/>
              </w:rPr>
              <w:t>7.8A.2.3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Wide band intermodulation for Inter-band CA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7.8A.2.3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58" w:name="_Toc68231180"/>
            <w:bookmarkStart w:id="259" w:name="_Toc76718618"/>
            <w:bookmarkStart w:id="260" w:name="_Toc21344514"/>
            <w:bookmarkStart w:id="261" w:name="_Toc29803051"/>
            <w:bookmarkStart w:id="262" w:name="_Toc75467606"/>
            <w:bookmarkStart w:id="263" w:name="_Toc29802002"/>
            <w:bookmarkStart w:id="264" w:name="_Toc29802426"/>
            <w:bookmarkStart w:id="265" w:name="_Toc45888505"/>
            <w:bookmarkStart w:id="266" w:name="_Toc36107793"/>
            <w:bookmarkStart w:id="267" w:name="_Toc61367847"/>
            <w:bookmarkStart w:id="268" w:name="_Toc84414083"/>
            <w:bookmarkStart w:id="269" w:name="_Toc61373230"/>
            <w:bookmarkStart w:id="270" w:name="_Toc84405474"/>
            <w:bookmarkStart w:id="271" w:name="_Toc45889104"/>
            <w:bookmarkStart w:id="272" w:name="_Toc83580965"/>
            <w:bookmarkStart w:id="273" w:name="_Toc69084593"/>
            <w:bookmarkStart w:id="274" w:name="_Toc76509628"/>
            <w:bookmarkStart w:id="275" w:name="_Toc37251567"/>
            <w:r>
              <w:rPr>
                <w:rFonts w:hint="eastAsia" w:ascii="Times New Roman" w:hAnsi="Times New Roman" w:eastAsia="宋体" w:cs="Times New Roman"/>
                <w:b w:val="0"/>
                <w:bCs w:val="0"/>
                <w:kern w:val="2"/>
                <w:sz w:val="21"/>
                <w:szCs w:val="22"/>
                <w:vertAlign w:val="baseline"/>
                <w:lang w:val="en-US" w:eastAsia="zh-CN" w:bidi="ar-SA"/>
              </w:rPr>
              <w:t>7.9A.3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Inter-band CA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7.9A.3</w:t>
            </w:r>
          </w:p>
        </w:tc>
      </w:tr>
    </w:tbl>
    <w:p>
      <w:pPr>
        <w:keepNext/>
        <w:keepLines/>
        <w:pageBreakBefore w:val="0"/>
        <w:tabs>
          <w:tab w:val="left" w:pos="2127"/>
        </w:tabs>
        <w:kinsoku/>
        <w:wordWrap/>
        <w:topLinePunct w:val="0"/>
        <w:bidi w:val="0"/>
        <w:snapToGrid/>
        <w:spacing w:after="0"/>
        <w:rPr>
          <w:rFonts w:hint="default"/>
          <w:lang w:val="en-US" w:eastAsia="zh-CN"/>
        </w:rPr>
      </w:pPr>
    </w:p>
    <w:bookmarkEnd w:id="1"/>
    <w:bookmarkEnd w:id="2"/>
    <w:bookmarkEnd w:id="3"/>
    <w:bookmarkEnd w:id="4"/>
    <w:p>
      <w:pPr>
        <w:pStyle w:val="57"/>
        <w:keepNext/>
        <w:keepLines/>
        <w:pageBreakBefore w:val="0"/>
        <w:tabs>
          <w:tab w:val="left" w:pos="567"/>
          <w:tab w:val="clear" w:pos="1985"/>
        </w:tabs>
        <w:kinsoku/>
        <w:wordWrap/>
        <w:topLinePunct w:val="0"/>
        <w:bidi w:val="0"/>
        <w:adjustRightInd w:val="0"/>
        <w:snapToGrid/>
        <w:ind w:left="510" w:hanging="510"/>
      </w:pPr>
      <w:r>
        <w:t>Conclusions</w:t>
      </w:r>
    </w:p>
    <w:p>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pPr>
        <w:pStyle w:val="57"/>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1. The BCS for inter-band DL CA_n3A-n39A is proposed in table 1.</w:t>
      </w:r>
    </w:p>
    <w:p>
      <w:pPr>
        <w:pStyle w:val="4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keepNext/>
        <w:keepLines/>
        <w:pageBreakBefore w:val="0"/>
        <w:widowControl/>
        <w:suppressLineNumbers w:val="0"/>
        <w:kinsoku/>
        <w:wordWrap/>
        <w:topLinePunct w:val="0"/>
        <w:bidi w:val="0"/>
        <w:snapToGrid/>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for RF requirements for inter-band DL CA, refer to the proposals in table 2. </w:t>
      </w:r>
    </w:p>
    <w:p>
      <w:pPr>
        <w:pStyle w:val="57"/>
        <w:keepNext/>
        <w:keepLines/>
        <w:pageBreakBefore w:val="0"/>
        <w:tabs>
          <w:tab w:val="left" w:pos="567"/>
          <w:tab w:val="clear" w:pos="1985"/>
        </w:tabs>
        <w:kinsoku/>
        <w:wordWrap/>
        <w:topLinePunct w:val="0"/>
        <w:bidi w:val="0"/>
        <w:adjustRightInd w:val="0"/>
        <w:snapToGrid/>
        <w:ind w:left="510" w:hanging="510"/>
      </w:pPr>
      <w:r>
        <w:t>References</w:t>
      </w:r>
    </w:p>
    <w:p>
      <w:pPr>
        <w:pStyle w:val="55"/>
        <w:keepNext/>
        <w:keepLines/>
        <w:pageBreakBefore w:val="0"/>
        <w:numPr>
          <w:ilvl w:val="0"/>
          <w:numId w:val="4"/>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pPr>
        <w:pStyle w:val="55"/>
        <w:keepNext/>
        <w:keepLines/>
        <w:pageBreakBefore w:val="0"/>
        <w:numPr>
          <w:ilvl w:val="0"/>
          <w:numId w:val="4"/>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5"/>
        <w:keepNext/>
        <w:keepLines/>
        <w:pageBreakBefore w:val="0"/>
        <w:numPr>
          <w:ilvl w:val="0"/>
          <w:numId w:val="4"/>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5"/>
        <w:keepNext/>
        <w:keepLines/>
        <w:pageBreakBefore w:val="0"/>
        <w:numPr>
          <w:ilvl w:val="0"/>
          <w:numId w:val="4"/>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5"/>
        <w:keepNext/>
        <w:keepLines/>
        <w:pageBreakBefore w:val="0"/>
        <w:numPr>
          <w:ilvl w:val="-1"/>
          <w:numId w:val="0"/>
        </w:numPr>
        <w:kinsoku/>
        <w:wordWrap/>
        <w:topLinePunct w:val="0"/>
        <w:bidi w:val="0"/>
        <w:snapToGrid/>
        <w:rPr>
          <w:sz w:val="20"/>
          <w:szCs w:val="20"/>
        </w:rPr>
      </w:pPr>
    </w:p>
    <w:p>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Helvetica Neue">
    <w:altName w:val="Sylfaen"/>
    <w:panose1 w:val="00000000000000000000"/>
    <w:charset w:val="00"/>
    <w:family w:val="auto"/>
    <w:pitch w:val="default"/>
    <w:sig w:usb0="00000000" w:usb1="00000000" w:usb2="0000001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E20089C"/>
    <w:multiLevelType w:val="multilevel"/>
    <w:tmpl w:val="6E2008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E7088"/>
    <w:rsid w:val="0240545F"/>
    <w:rsid w:val="02405857"/>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ED0D85"/>
    <w:rsid w:val="0EF21BA4"/>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E3D3D"/>
    <w:rsid w:val="0FC12836"/>
    <w:rsid w:val="0FC427AC"/>
    <w:rsid w:val="0FD95333"/>
    <w:rsid w:val="0FDD44E9"/>
    <w:rsid w:val="0FE0698F"/>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E6CAD"/>
    <w:rsid w:val="143802F8"/>
    <w:rsid w:val="14427FD4"/>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70266"/>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8D3E76"/>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004BA"/>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F06B2"/>
    <w:rsid w:val="2D400A9F"/>
    <w:rsid w:val="2D540857"/>
    <w:rsid w:val="2D590555"/>
    <w:rsid w:val="2D621C05"/>
    <w:rsid w:val="2D6A3C90"/>
    <w:rsid w:val="2D726428"/>
    <w:rsid w:val="2D770975"/>
    <w:rsid w:val="2D7A06F1"/>
    <w:rsid w:val="2D8151A4"/>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409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318E"/>
    <w:rsid w:val="4AA456B8"/>
    <w:rsid w:val="4AA75186"/>
    <w:rsid w:val="4AAF1B3A"/>
    <w:rsid w:val="4AB01D3D"/>
    <w:rsid w:val="4AB113DF"/>
    <w:rsid w:val="4AB60988"/>
    <w:rsid w:val="4AB75FB2"/>
    <w:rsid w:val="4ABB3CDE"/>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B775A"/>
    <w:rsid w:val="521C5D43"/>
    <w:rsid w:val="521D7ED7"/>
    <w:rsid w:val="52216835"/>
    <w:rsid w:val="52257DA4"/>
    <w:rsid w:val="52325EE7"/>
    <w:rsid w:val="5239194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9F75D4"/>
    <w:rsid w:val="59A22883"/>
    <w:rsid w:val="59A24ED6"/>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F5C"/>
    <w:rsid w:val="675E5725"/>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C455D"/>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D5A"/>
    <w:rsid w:val="72C221EC"/>
    <w:rsid w:val="72CE3184"/>
    <w:rsid w:val="72CE7D06"/>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A069EC"/>
    <w:rsid w:val="7FA11DE1"/>
    <w:rsid w:val="7FB351E6"/>
    <w:rsid w:val="7FB422D4"/>
    <w:rsid w:val="7FB73496"/>
    <w:rsid w:val="7FCE5F2D"/>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2024-05-13T15:05:11Z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